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3D" w:rsidRDefault="00DC5D3D" w:rsidP="00DC5D3D">
      <w:pPr>
        <w:jc w:val="center"/>
      </w:pPr>
      <w:r>
        <w:rPr>
          <w:noProof/>
          <w:lang w:eastAsia="pt-BR"/>
        </w:rPr>
        <w:drawing>
          <wp:inline distT="0" distB="0" distL="0" distR="0">
            <wp:extent cx="771525" cy="781050"/>
            <wp:effectExtent l="0" t="0" r="9525"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rsidR="00DC5D3D" w:rsidRDefault="00DC5D3D" w:rsidP="00DC5D3D">
      <w:pPr>
        <w:jc w:val="center"/>
        <w:rPr>
          <w:rFonts w:ascii="Century Gothic" w:hAnsi="Century Gothic"/>
          <w:b/>
          <w:bCs/>
        </w:rPr>
      </w:pPr>
      <w:r>
        <w:rPr>
          <w:rFonts w:ascii="Century Gothic" w:hAnsi="Century Gothic"/>
          <w:b/>
          <w:bCs/>
        </w:rPr>
        <w:t>Ordem dos Advogados do Brasil</w:t>
      </w:r>
    </w:p>
    <w:p w:rsidR="00DC5D3D" w:rsidRDefault="00DC5D3D" w:rsidP="00DC5D3D">
      <w:pPr>
        <w:pStyle w:val="Ttulo3"/>
        <w:rPr>
          <w:rFonts w:ascii="Century Gothic" w:eastAsia="Times New Roman" w:hAnsi="Century Gothic"/>
          <w:sz w:val="22"/>
          <w:szCs w:val="22"/>
        </w:rPr>
      </w:pPr>
      <w:r>
        <w:rPr>
          <w:rFonts w:ascii="Century Gothic" w:eastAsia="Times New Roman" w:hAnsi="Century Gothic"/>
          <w:sz w:val="22"/>
          <w:szCs w:val="22"/>
        </w:rPr>
        <w:t>Conselho Seccional do Rio Grande do Sul</w:t>
      </w:r>
    </w:p>
    <w:p w:rsidR="00DC5D3D" w:rsidRDefault="00DC5D3D" w:rsidP="00DC5D3D">
      <w:pPr>
        <w:jc w:val="center"/>
        <w:rPr>
          <w:rFonts w:ascii="Century Gothic" w:hAnsi="Century Gothic"/>
          <w:b/>
          <w:bCs/>
        </w:rPr>
      </w:pPr>
      <w:r>
        <w:rPr>
          <w:rFonts w:ascii="Century Gothic" w:hAnsi="Century Gothic"/>
          <w:b/>
          <w:bCs/>
        </w:rPr>
        <w:t>Subseção de Montenegro</w:t>
      </w:r>
      <w:r>
        <w:rPr>
          <w:rFonts w:ascii="Century Gothic" w:hAnsi="Century Gothic"/>
          <w:b/>
          <w:bCs/>
          <w:color w:val="1F497D"/>
        </w:rPr>
        <w:t xml:space="preserve"> </w:t>
      </w:r>
    </w:p>
    <w:p w:rsidR="00DC5D3D" w:rsidRDefault="00DC5D3D" w:rsidP="00DC5D3D">
      <w:pPr>
        <w:jc w:val="both"/>
        <w:rPr>
          <w:rFonts w:ascii="Century Gothic" w:hAnsi="Century Gothic"/>
          <w:sz w:val="20"/>
          <w:szCs w:val="20"/>
        </w:rPr>
      </w:pPr>
    </w:p>
    <w:p w:rsidR="00DC5D3D" w:rsidRDefault="00DC5D3D" w:rsidP="00DC5D3D">
      <w:pPr>
        <w:jc w:val="right"/>
        <w:rPr>
          <w:rFonts w:ascii="Century Gothic" w:hAnsi="Century Gothic"/>
        </w:rPr>
      </w:pPr>
      <w:r>
        <w:rPr>
          <w:rFonts w:ascii="Century Gothic" w:hAnsi="Century Gothic"/>
        </w:rPr>
        <w:t>Porto Alegre, 11</w:t>
      </w:r>
      <w:r>
        <w:rPr>
          <w:rFonts w:ascii="Century Gothic" w:hAnsi="Century Gothic"/>
          <w:color w:val="FF0000"/>
        </w:rPr>
        <w:t xml:space="preserve"> </w:t>
      </w:r>
      <w:r>
        <w:rPr>
          <w:rFonts w:ascii="Century Gothic" w:hAnsi="Century Gothic"/>
        </w:rPr>
        <w:t>de outubro de 2017.</w:t>
      </w:r>
    </w:p>
    <w:p w:rsidR="00DC5D3D" w:rsidRDefault="00DC5D3D" w:rsidP="00DC5D3D">
      <w:pPr>
        <w:jc w:val="both"/>
        <w:rPr>
          <w:rFonts w:ascii="Century Gothic" w:hAnsi="Century Gothic"/>
        </w:rPr>
      </w:pPr>
    </w:p>
    <w:p w:rsidR="00DC5D3D" w:rsidRDefault="00DC5D3D" w:rsidP="00DC5D3D">
      <w:pPr>
        <w:jc w:val="both"/>
        <w:rPr>
          <w:rFonts w:ascii="Century Gothic" w:hAnsi="Century Gothic"/>
        </w:rPr>
      </w:pPr>
    </w:p>
    <w:p w:rsidR="00DC5D3D" w:rsidRDefault="00DC5D3D" w:rsidP="00DC5D3D">
      <w:pPr>
        <w:jc w:val="both"/>
        <w:rPr>
          <w:rFonts w:ascii="Century Gothic" w:hAnsi="Century Gothic"/>
        </w:rPr>
      </w:pPr>
    </w:p>
    <w:p w:rsidR="00DC5D3D" w:rsidRDefault="00DC5D3D" w:rsidP="00DC5D3D">
      <w:pPr>
        <w:jc w:val="both"/>
        <w:rPr>
          <w:rFonts w:ascii="Century Gothic" w:hAnsi="Century Gothic"/>
        </w:rPr>
      </w:pPr>
      <w:r>
        <w:rPr>
          <w:rFonts w:ascii="Century Gothic" w:hAnsi="Century Gothic"/>
        </w:rPr>
        <w:t>Assunto: Lei nº 15.016/2017</w:t>
      </w:r>
      <w:r>
        <w:rPr>
          <w:rFonts w:ascii="Century Gothic" w:hAnsi="Century Gothic"/>
          <w:shd w:val="clear" w:color="auto" w:fill="FFFFFF"/>
        </w:rPr>
        <w:t xml:space="preserve"> (</w:t>
      </w:r>
      <w:r>
        <w:rPr>
          <w:rFonts w:ascii="Century Gothic" w:hAnsi="Century Gothic"/>
        </w:rPr>
        <w:t>isenção do pagamento de custas judiciais em processos de honorários advocatícios, parcelamento de custas ou o pagamento ao final do processo).</w:t>
      </w:r>
    </w:p>
    <w:p w:rsidR="00DC5D3D" w:rsidRDefault="00DC5D3D" w:rsidP="00DC5D3D">
      <w:pPr>
        <w:jc w:val="both"/>
        <w:rPr>
          <w:rFonts w:ascii="Century Gothic" w:hAnsi="Century Gothic"/>
        </w:rPr>
      </w:pPr>
    </w:p>
    <w:p w:rsidR="00DC5D3D" w:rsidRDefault="00DC5D3D" w:rsidP="00DC5D3D">
      <w:pPr>
        <w:jc w:val="both"/>
        <w:rPr>
          <w:rFonts w:ascii="Century Gothic" w:hAnsi="Century Gothic"/>
          <w:b/>
          <w:bCs/>
        </w:rPr>
      </w:pPr>
    </w:p>
    <w:p w:rsidR="00DC5D3D" w:rsidRDefault="00DC5D3D" w:rsidP="00DC5D3D">
      <w:pPr>
        <w:jc w:val="both"/>
        <w:rPr>
          <w:rFonts w:ascii="Century Gothic" w:hAnsi="Century Gothic"/>
        </w:rPr>
      </w:pPr>
      <w:r>
        <w:rPr>
          <w:rFonts w:ascii="Century Gothic" w:hAnsi="Century Gothic"/>
          <w:b/>
          <w:bCs/>
        </w:rPr>
        <w:t xml:space="preserve">                        </w:t>
      </w:r>
      <w:r>
        <w:rPr>
          <w:rFonts w:ascii="Century Gothic" w:hAnsi="Century Gothic"/>
        </w:rPr>
        <w:t xml:space="preserve">Colega </w:t>
      </w:r>
      <w:proofErr w:type="gramStart"/>
      <w:r>
        <w:rPr>
          <w:rFonts w:ascii="Century Gothic" w:hAnsi="Century Gothic"/>
        </w:rPr>
        <w:t>Advogado(</w:t>
      </w:r>
      <w:proofErr w:type="gramEnd"/>
      <w:r>
        <w:rPr>
          <w:rFonts w:ascii="Century Gothic" w:hAnsi="Century Gothic"/>
        </w:rPr>
        <w:t>a),</w:t>
      </w:r>
    </w:p>
    <w:p w:rsidR="00DC5D3D" w:rsidRDefault="00DC5D3D" w:rsidP="00DC5D3D">
      <w:pPr>
        <w:jc w:val="both"/>
        <w:rPr>
          <w:rFonts w:ascii="Century Gothic" w:hAnsi="Century Gothic"/>
        </w:rPr>
      </w:pPr>
    </w:p>
    <w:p w:rsidR="00DC5D3D" w:rsidRDefault="00DC5D3D" w:rsidP="00DC5D3D">
      <w:pPr>
        <w:jc w:val="both"/>
        <w:rPr>
          <w:rFonts w:ascii="Century Gothic" w:hAnsi="Century Gothic"/>
        </w:rPr>
      </w:pPr>
    </w:p>
    <w:p w:rsidR="00DC5D3D" w:rsidRDefault="00DC5D3D" w:rsidP="00DC5D3D">
      <w:pPr>
        <w:numPr>
          <w:ilvl w:val="0"/>
          <w:numId w:val="1"/>
        </w:numPr>
        <w:jc w:val="both"/>
        <w:rPr>
          <w:rFonts w:ascii="Century Gothic" w:hAnsi="Century Gothic"/>
        </w:rPr>
      </w:pPr>
      <w:r>
        <w:rPr>
          <w:rFonts w:ascii="Century Gothic" w:hAnsi="Century Gothic"/>
        </w:rPr>
        <w:t>É com grande satisfação que vimos compartilhar a informação de que, em menos de uma semana, os advogados gaúchos estarão isentos do pagamento de custas judiciais em processos de execução de honorários advocatícios. Essa conquista está materializada na Lei nº 15.016/2017, que trata de alterações na Lei nº 14.634, de 15 de dezembro de 2014, instituindo a Taxa Única de Serviços Judiciais e outras providências, sancionada pelo Governador do Estado, José Ivo Sartori, no dia 13 de julho. A matéria, que passa a vigorar a partir de 16 de outubro, é inédita no País.</w:t>
      </w:r>
    </w:p>
    <w:p w:rsidR="00DC5D3D" w:rsidRDefault="00DC5D3D" w:rsidP="00DC5D3D">
      <w:pPr>
        <w:jc w:val="both"/>
        <w:rPr>
          <w:rFonts w:ascii="Century Gothic" w:hAnsi="Century Gothic"/>
        </w:rPr>
      </w:pPr>
    </w:p>
    <w:p w:rsidR="00DC5D3D" w:rsidRDefault="00DC5D3D" w:rsidP="00DC5D3D">
      <w:pPr>
        <w:numPr>
          <w:ilvl w:val="0"/>
          <w:numId w:val="1"/>
        </w:numPr>
        <w:jc w:val="both"/>
        <w:rPr>
          <w:rFonts w:ascii="Century Gothic" w:hAnsi="Century Gothic"/>
        </w:rPr>
      </w:pPr>
      <w:r>
        <w:rPr>
          <w:rFonts w:ascii="Century Gothic" w:hAnsi="Century Gothic"/>
        </w:rPr>
        <w:t xml:space="preserve">Essa importante vitória, que contempla o Plano de Valorização da Advocacia, está prevista no parágrafo único, do artigo 6º, da citada Lei, tendo em vista a natureza alimentar dos honorários, direito que foi assegurado no novo CPC, após forte empenho da OAB. </w:t>
      </w:r>
    </w:p>
    <w:p w:rsidR="00DC5D3D" w:rsidRDefault="00DC5D3D" w:rsidP="00DC5D3D">
      <w:pPr>
        <w:pStyle w:val="PargrafodaLista"/>
        <w:rPr>
          <w:rFonts w:ascii="Century Gothic" w:hAnsi="Century Gothic"/>
        </w:rPr>
      </w:pPr>
    </w:p>
    <w:p w:rsidR="00DC5D3D" w:rsidRDefault="00DC5D3D" w:rsidP="00DC5D3D">
      <w:pPr>
        <w:numPr>
          <w:ilvl w:val="0"/>
          <w:numId w:val="1"/>
        </w:numPr>
        <w:jc w:val="both"/>
        <w:rPr>
          <w:rFonts w:ascii="Century Gothic" w:hAnsi="Century Gothic"/>
        </w:rPr>
      </w:pPr>
      <w:r>
        <w:rPr>
          <w:rFonts w:ascii="Century Gothic" w:hAnsi="Century Gothic"/>
        </w:rPr>
        <w:t xml:space="preserve">Além disso, também foi garantido ao cidadão o parcelamento de custas ou o pagamento ao final do processo, facilitando o acesso ao Judiciário. Da mesma forma, ainda foi aprovada a obrigatoriedade de custas ao final nos processos de execução de título judicial e nos processos de execução individual de sentença coletiva contra a Fazenda Pública, suas autarquias e fundações. Outra conquista foi </w:t>
      </w:r>
      <w:proofErr w:type="gramStart"/>
      <w:r>
        <w:rPr>
          <w:rFonts w:ascii="Century Gothic" w:hAnsi="Century Gothic"/>
        </w:rPr>
        <w:t>a</w:t>
      </w:r>
      <w:proofErr w:type="gramEnd"/>
      <w:r>
        <w:rPr>
          <w:rFonts w:ascii="Century Gothic" w:hAnsi="Century Gothic"/>
        </w:rPr>
        <w:t xml:space="preserve"> retirada do texto original do PL 97/16, que determinava a obrigatoriedade do recolhimento de custas a partir do protocolo da inicial, sendo mantida a exigência somente com a citação.</w:t>
      </w:r>
    </w:p>
    <w:p w:rsidR="00DC5D3D" w:rsidRDefault="00DC5D3D" w:rsidP="00DC5D3D">
      <w:pPr>
        <w:pStyle w:val="PargrafodaLista"/>
        <w:rPr>
          <w:rFonts w:ascii="Century Gothic" w:hAnsi="Century Gothic"/>
        </w:rPr>
      </w:pPr>
    </w:p>
    <w:p w:rsidR="00DC5D3D" w:rsidRDefault="00DC5D3D" w:rsidP="00DC5D3D">
      <w:pPr>
        <w:numPr>
          <w:ilvl w:val="0"/>
          <w:numId w:val="1"/>
        </w:numPr>
        <w:jc w:val="both"/>
        <w:rPr>
          <w:rFonts w:ascii="Century Gothic" w:hAnsi="Century Gothic"/>
        </w:rPr>
      </w:pPr>
      <w:r>
        <w:rPr>
          <w:rFonts w:ascii="Century Gothic" w:hAnsi="Century Gothic"/>
        </w:rPr>
        <w:t>Sendo assim, para conhecimento, encaminhamos a Lei nº 15.016, que entrará em vigor no dia 16/10/2017.</w:t>
      </w:r>
    </w:p>
    <w:p w:rsidR="00DC5D3D" w:rsidRDefault="00DC5D3D" w:rsidP="00DC5D3D">
      <w:pPr>
        <w:pStyle w:val="PargrafodaLista"/>
        <w:rPr>
          <w:rFonts w:ascii="Century Gothic" w:hAnsi="Century Gothic"/>
        </w:rPr>
      </w:pPr>
    </w:p>
    <w:p w:rsidR="00DC5D3D" w:rsidRDefault="00DC5D3D" w:rsidP="00DC5D3D">
      <w:pPr>
        <w:numPr>
          <w:ilvl w:val="0"/>
          <w:numId w:val="1"/>
        </w:numPr>
        <w:jc w:val="both"/>
        <w:rPr>
          <w:rFonts w:ascii="Century Gothic" w:hAnsi="Century Gothic"/>
        </w:rPr>
      </w:pPr>
      <w:r>
        <w:rPr>
          <w:rFonts w:ascii="Century Gothic" w:hAnsi="Century Gothic"/>
        </w:rPr>
        <w:t xml:space="preserve">Por fim, convictos de que essa é mais </w:t>
      </w:r>
      <w:proofErr w:type="gramStart"/>
      <w:r>
        <w:rPr>
          <w:rFonts w:ascii="Century Gothic" w:hAnsi="Century Gothic"/>
        </w:rPr>
        <w:t>uma relevante vitória da advocacia, renovamos</w:t>
      </w:r>
      <w:proofErr w:type="gramEnd"/>
      <w:r>
        <w:rPr>
          <w:rFonts w:ascii="Century Gothic" w:hAnsi="Century Gothic"/>
        </w:rPr>
        <w:t xml:space="preserve"> nossos votos de elevado apreço.</w:t>
      </w:r>
    </w:p>
    <w:p w:rsidR="00DC5D3D" w:rsidRDefault="00DC5D3D" w:rsidP="00DC5D3D">
      <w:pPr>
        <w:ind w:firstLine="1418"/>
        <w:jc w:val="both"/>
        <w:rPr>
          <w:rFonts w:ascii="Century Gothic" w:hAnsi="Century Gothic"/>
          <w:color w:val="FF0000"/>
        </w:rPr>
      </w:pPr>
    </w:p>
    <w:p w:rsidR="00DC5D3D" w:rsidRDefault="00DC5D3D" w:rsidP="00DC5D3D">
      <w:pPr>
        <w:ind w:firstLine="1418"/>
        <w:jc w:val="both"/>
        <w:rPr>
          <w:rFonts w:ascii="Century Gothic" w:hAnsi="Century Gothic"/>
        </w:rPr>
      </w:pPr>
      <w:r>
        <w:rPr>
          <w:rFonts w:ascii="Century Gothic" w:hAnsi="Century Gothic"/>
        </w:rPr>
        <w:t>Atenciosamente,</w:t>
      </w:r>
    </w:p>
    <w:p w:rsidR="00DC5D3D" w:rsidRDefault="00DC5D3D" w:rsidP="00DC5D3D">
      <w:pPr>
        <w:jc w:val="both"/>
        <w:rPr>
          <w:rFonts w:ascii="Century Gothic" w:hAnsi="Century Gothic"/>
        </w:rPr>
      </w:pPr>
    </w:p>
    <w:p w:rsidR="00DC5D3D" w:rsidRDefault="00DC5D3D" w:rsidP="00DC5D3D">
      <w:pPr>
        <w:jc w:val="center"/>
        <w:rPr>
          <w:rFonts w:ascii="Century Gothic" w:hAnsi="Century Gothic"/>
        </w:rPr>
      </w:pPr>
      <w:r>
        <w:rPr>
          <w:rFonts w:ascii="Century Gothic" w:hAnsi="Century Gothic"/>
        </w:rPr>
        <w:lastRenderedPageBreak/>
        <w:t>RICARDO BREIER,</w:t>
      </w:r>
    </w:p>
    <w:p w:rsidR="00DC5D3D" w:rsidRDefault="00DC5D3D" w:rsidP="00DC5D3D">
      <w:pPr>
        <w:jc w:val="center"/>
        <w:rPr>
          <w:rFonts w:ascii="Century Gothic" w:hAnsi="Century Gothic"/>
        </w:rPr>
      </w:pPr>
      <w:r>
        <w:rPr>
          <w:rFonts w:ascii="Century Gothic" w:hAnsi="Century Gothic"/>
        </w:rPr>
        <w:t>Presidente da OAB/RS.</w:t>
      </w:r>
    </w:p>
    <w:p w:rsidR="00DC5D3D" w:rsidRDefault="00DC5D3D" w:rsidP="00DC5D3D">
      <w:pPr>
        <w:jc w:val="center"/>
        <w:rPr>
          <w:rFonts w:ascii="Century Gothic" w:hAnsi="Century Gothic"/>
        </w:rPr>
      </w:pPr>
    </w:p>
    <w:p w:rsidR="00DC5D3D" w:rsidRDefault="00DC5D3D" w:rsidP="00DC5D3D">
      <w:pPr>
        <w:jc w:val="center"/>
        <w:rPr>
          <w:rFonts w:ascii="Century Gothic" w:hAnsi="Century Gothic"/>
        </w:rPr>
      </w:pPr>
    </w:p>
    <w:p w:rsidR="00DC5D3D" w:rsidRDefault="00DC5D3D" w:rsidP="00DC5D3D">
      <w:pPr>
        <w:rPr>
          <w:rFonts w:ascii="Century Gothic" w:hAnsi="Century Gothic"/>
        </w:rPr>
      </w:pPr>
      <w:r>
        <w:rPr>
          <w:rFonts w:ascii="Century Gothic" w:hAnsi="Century Gothic"/>
          <w:color w:val="1F497D"/>
        </w:rPr>
        <w:t xml:space="preserve">                                                                                                                                                                                               </w:t>
      </w:r>
      <w:r>
        <w:rPr>
          <w:rFonts w:ascii="Century Gothic" w:hAnsi="Century Gothic"/>
        </w:rPr>
        <w:t>SEPÉ TIARAJÚ RIGON DE CAMPOS</w:t>
      </w:r>
    </w:p>
    <w:p w:rsidR="00DC5D3D" w:rsidRDefault="00DC5D3D" w:rsidP="00DC5D3D">
      <w:pPr>
        <w:jc w:val="center"/>
        <w:rPr>
          <w:rFonts w:ascii="Century Gothic" w:hAnsi="Century Gothic"/>
        </w:rPr>
      </w:pPr>
      <w:r>
        <w:rPr>
          <w:rFonts w:ascii="Century Gothic" w:hAnsi="Century Gothic"/>
        </w:rPr>
        <w:t>Presidente da OAB/RS – Subseção de Montenegro</w:t>
      </w:r>
    </w:p>
    <w:p w:rsidR="00DC5D3D" w:rsidRDefault="00DC5D3D" w:rsidP="00DC5D3D">
      <w:pPr>
        <w:jc w:val="center"/>
        <w:rPr>
          <w:rFonts w:ascii="Century Gothic" w:hAnsi="Century Gothic"/>
        </w:rPr>
      </w:pPr>
    </w:p>
    <w:p w:rsidR="00DC5D3D" w:rsidRDefault="00DC5D3D" w:rsidP="00DC5D3D">
      <w:pPr>
        <w:pStyle w:val="NormalWeb"/>
        <w:spacing w:before="0" w:beforeAutospacing="0" w:after="225" w:afterAutospacing="0"/>
        <w:jc w:val="both"/>
        <w:rPr>
          <w:rStyle w:val="Forte"/>
          <w:rFonts w:ascii="Tahoma" w:hAnsi="Tahoma" w:cs="Tahoma"/>
          <w:color w:val="555555"/>
          <w:sz w:val="20"/>
          <w:szCs w:val="20"/>
        </w:rPr>
      </w:pPr>
    </w:p>
    <w:p w:rsidR="00DC5D3D" w:rsidRDefault="00DC5D3D" w:rsidP="00DC5D3D"/>
    <w:p w:rsidR="00374076" w:rsidRDefault="00374076">
      <w:bookmarkStart w:id="0" w:name="_GoBack"/>
      <w:bookmarkEnd w:id="0"/>
    </w:p>
    <w:sectPr w:rsidR="003740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549B4"/>
    <w:multiLevelType w:val="hybridMultilevel"/>
    <w:tmpl w:val="87CC11AC"/>
    <w:lvl w:ilvl="0" w:tplc="0A1642C4">
      <w:start w:val="1"/>
      <w:numFmt w:val="decimal"/>
      <w:lvlText w:val="%1."/>
      <w:lvlJc w:val="left"/>
      <w:pPr>
        <w:tabs>
          <w:tab w:val="num" w:pos="360"/>
        </w:tabs>
        <w:ind w:left="0" w:firstLine="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3D"/>
    <w:rsid w:val="00374076"/>
    <w:rsid w:val="00DC5D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3D"/>
    <w:pPr>
      <w:spacing w:after="0" w:line="240" w:lineRule="auto"/>
    </w:pPr>
    <w:rPr>
      <w:rFonts w:ascii="Calibri" w:hAnsi="Calibri" w:cs="Times New Roman"/>
    </w:rPr>
  </w:style>
  <w:style w:type="paragraph" w:styleId="Ttulo3">
    <w:name w:val="heading 3"/>
    <w:basedOn w:val="Normal"/>
    <w:link w:val="Ttulo3Char"/>
    <w:uiPriority w:val="9"/>
    <w:semiHidden/>
    <w:unhideWhenUsed/>
    <w:qFormat/>
    <w:rsid w:val="00DC5D3D"/>
    <w:pPr>
      <w:keepNext/>
      <w:jc w:val="center"/>
      <w:outlineLvl w:val="2"/>
    </w:pPr>
    <w:rPr>
      <w:rFonts w:ascii="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C5D3D"/>
    <w:rPr>
      <w:rFonts w:ascii="Times New Roman" w:hAnsi="Times New Roman" w:cs="Times New Roman"/>
      <w:b/>
      <w:bCs/>
      <w:sz w:val="24"/>
      <w:szCs w:val="24"/>
      <w:lang w:eastAsia="pt-BR"/>
    </w:rPr>
  </w:style>
  <w:style w:type="paragraph" w:styleId="NormalWeb">
    <w:name w:val="Normal (Web)"/>
    <w:basedOn w:val="Normal"/>
    <w:uiPriority w:val="99"/>
    <w:semiHidden/>
    <w:unhideWhenUsed/>
    <w:rsid w:val="00DC5D3D"/>
    <w:pPr>
      <w:spacing w:before="100" w:beforeAutospacing="1" w:after="100" w:afterAutospacing="1"/>
    </w:pPr>
    <w:rPr>
      <w:rFonts w:ascii="Times New Roman" w:hAnsi="Times New Roman"/>
      <w:sz w:val="24"/>
      <w:szCs w:val="24"/>
      <w:lang w:eastAsia="pt-BR"/>
    </w:rPr>
  </w:style>
  <w:style w:type="paragraph" w:styleId="PargrafodaLista">
    <w:name w:val="List Paragraph"/>
    <w:basedOn w:val="Normal"/>
    <w:uiPriority w:val="34"/>
    <w:qFormat/>
    <w:rsid w:val="00DC5D3D"/>
    <w:pPr>
      <w:ind w:left="708"/>
    </w:pPr>
    <w:rPr>
      <w:rFonts w:ascii="Times New Roman" w:hAnsi="Times New Roman"/>
      <w:sz w:val="20"/>
      <w:szCs w:val="20"/>
      <w:lang w:eastAsia="pt-BR"/>
    </w:rPr>
  </w:style>
  <w:style w:type="character" w:styleId="Forte">
    <w:name w:val="Strong"/>
    <w:basedOn w:val="Fontepargpadro"/>
    <w:uiPriority w:val="22"/>
    <w:qFormat/>
    <w:rsid w:val="00DC5D3D"/>
    <w:rPr>
      <w:b/>
      <w:bCs/>
    </w:rPr>
  </w:style>
  <w:style w:type="paragraph" w:styleId="Textodebalo">
    <w:name w:val="Balloon Text"/>
    <w:basedOn w:val="Normal"/>
    <w:link w:val="TextodebaloChar"/>
    <w:uiPriority w:val="99"/>
    <w:semiHidden/>
    <w:unhideWhenUsed/>
    <w:rsid w:val="00DC5D3D"/>
    <w:rPr>
      <w:rFonts w:ascii="Tahoma" w:hAnsi="Tahoma" w:cs="Tahoma"/>
      <w:sz w:val="16"/>
      <w:szCs w:val="16"/>
    </w:rPr>
  </w:style>
  <w:style w:type="character" w:customStyle="1" w:styleId="TextodebaloChar">
    <w:name w:val="Texto de balão Char"/>
    <w:basedOn w:val="Fontepargpadro"/>
    <w:link w:val="Textodebalo"/>
    <w:uiPriority w:val="99"/>
    <w:semiHidden/>
    <w:rsid w:val="00DC5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3D"/>
    <w:pPr>
      <w:spacing w:after="0" w:line="240" w:lineRule="auto"/>
    </w:pPr>
    <w:rPr>
      <w:rFonts w:ascii="Calibri" w:hAnsi="Calibri" w:cs="Times New Roman"/>
    </w:rPr>
  </w:style>
  <w:style w:type="paragraph" w:styleId="Ttulo3">
    <w:name w:val="heading 3"/>
    <w:basedOn w:val="Normal"/>
    <w:link w:val="Ttulo3Char"/>
    <w:uiPriority w:val="9"/>
    <w:semiHidden/>
    <w:unhideWhenUsed/>
    <w:qFormat/>
    <w:rsid w:val="00DC5D3D"/>
    <w:pPr>
      <w:keepNext/>
      <w:jc w:val="center"/>
      <w:outlineLvl w:val="2"/>
    </w:pPr>
    <w:rPr>
      <w:rFonts w:ascii="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DC5D3D"/>
    <w:rPr>
      <w:rFonts w:ascii="Times New Roman" w:hAnsi="Times New Roman" w:cs="Times New Roman"/>
      <w:b/>
      <w:bCs/>
      <w:sz w:val="24"/>
      <w:szCs w:val="24"/>
      <w:lang w:eastAsia="pt-BR"/>
    </w:rPr>
  </w:style>
  <w:style w:type="paragraph" w:styleId="NormalWeb">
    <w:name w:val="Normal (Web)"/>
    <w:basedOn w:val="Normal"/>
    <w:uiPriority w:val="99"/>
    <w:semiHidden/>
    <w:unhideWhenUsed/>
    <w:rsid w:val="00DC5D3D"/>
    <w:pPr>
      <w:spacing w:before="100" w:beforeAutospacing="1" w:after="100" w:afterAutospacing="1"/>
    </w:pPr>
    <w:rPr>
      <w:rFonts w:ascii="Times New Roman" w:hAnsi="Times New Roman"/>
      <w:sz w:val="24"/>
      <w:szCs w:val="24"/>
      <w:lang w:eastAsia="pt-BR"/>
    </w:rPr>
  </w:style>
  <w:style w:type="paragraph" w:styleId="PargrafodaLista">
    <w:name w:val="List Paragraph"/>
    <w:basedOn w:val="Normal"/>
    <w:uiPriority w:val="34"/>
    <w:qFormat/>
    <w:rsid w:val="00DC5D3D"/>
    <w:pPr>
      <w:ind w:left="708"/>
    </w:pPr>
    <w:rPr>
      <w:rFonts w:ascii="Times New Roman" w:hAnsi="Times New Roman"/>
      <w:sz w:val="20"/>
      <w:szCs w:val="20"/>
      <w:lang w:eastAsia="pt-BR"/>
    </w:rPr>
  </w:style>
  <w:style w:type="character" w:styleId="Forte">
    <w:name w:val="Strong"/>
    <w:basedOn w:val="Fontepargpadro"/>
    <w:uiPriority w:val="22"/>
    <w:qFormat/>
    <w:rsid w:val="00DC5D3D"/>
    <w:rPr>
      <w:b/>
      <w:bCs/>
    </w:rPr>
  </w:style>
  <w:style w:type="paragraph" w:styleId="Textodebalo">
    <w:name w:val="Balloon Text"/>
    <w:basedOn w:val="Normal"/>
    <w:link w:val="TextodebaloChar"/>
    <w:uiPriority w:val="99"/>
    <w:semiHidden/>
    <w:unhideWhenUsed/>
    <w:rsid w:val="00DC5D3D"/>
    <w:rPr>
      <w:rFonts w:ascii="Tahoma" w:hAnsi="Tahoma" w:cs="Tahoma"/>
      <w:sz w:val="16"/>
      <w:szCs w:val="16"/>
    </w:rPr>
  </w:style>
  <w:style w:type="character" w:customStyle="1" w:styleId="TextodebaloChar">
    <w:name w:val="Texto de balão Char"/>
    <w:basedOn w:val="Fontepargpadro"/>
    <w:link w:val="Textodebalo"/>
    <w:uiPriority w:val="99"/>
    <w:semiHidden/>
    <w:rsid w:val="00DC5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342A7.BED750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2017-10-11T20:17:00Z</dcterms:created>
  <dcterms:modified xsi:type="dcterms:W3CDTF">2017-10-11T20:17:00Z</dcterms:modified>
</cp:coreProperties>
</file>